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3686"/>
        <w:gridCol w:w="284"/>
        <w:gridCol w:w="5983"/>
      </w:tblGrid>
      <w:tr w:rsidR="00E11BAA" w:rsidRPr="00720AE0" w:rsidTr="004E2585">
        <w:trPr>
          <w:trHeight w:val="2287"/>
        </w:trPr>
        <w:tc>
          <w:tcPr>
            <w:tcW w:w="3686" w:type="dxa"/>
            <w:vMerge w:val="restart"/>
          </w:tcPr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fr-FR"/>
              </w:rPr>
            </w:pPr>
            <w:r w:rsidRPr="00C6486F">
              <w:rPr>
                <w:rFonts w:ascii="Calibri" w:eastAsia="Times New Roman" w:hAnsi="Calibri" w:cs="Arial"/>
                <w:b/>
                <w:sz w:val="20"/>
                <w:szCs w:val="20"/>
                <w:lang w:eastAsia="fr-FR"/>
              </w:rPr>
              <w:t>Cabinet Brahin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fr-FR"/>
              </w:rPr>
            </w:pPr>
            <w:r w:rsidRPr="00C6486F">
              <w:rPr>
                <w:rFonts w:ascii="Calibri" w:eastAsia="Times New Roman" w:hAnsi="Calibri" w:cs="Arial"/>
                <w:i/>
                <w:sz w:val="18"/>
                <w:szCs w:val="18"/>
                <w:lang w:eastAsia="fr-FR"/>
              </w:rPr>
              <w:t>Société d'avocats au Barreau de Nice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1 rue Louis Gassin - 06300</w:t>
            </w:r>
            <w:r w:rsidRPr="00C6486F">
              <w:rPr>
                <w:rFonts w:ascii="Calibri" w:eastAsia="Times New Roman" w:hAnsi="Calibri" w:cs="Arial"/>
                <w:b/>
                <w:sz w:val="18"/>
                <w:szCs w:val="18"/>
                <w:lang w:eastAsia="fr-FR"/>
              </w:rPr>
              <w:t xml:space="preserve"> </w:t>
            </w:r>
            <w:r w:rsidRPr="00C6486F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Nice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7"/>
                <w:szCs w:val="17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17"/>
                <w:szCs w:val="17"/>
                <w:lang w:eastAsia="fr-FR"/>
              </w:rPr>
              <w:t>Tel : +33 (0)4 93 83 08 76 – Fax : +33 (0)4 93 18 14 37</w:t>
            </w:r>
          </w:p>
          <w:p w:rsidR="00E11BAA" w:rsidRPr="00C6486F" w:rsidRDefault="004810E5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fr-FR"/>
              </w:rPr>
            </w:pPr>
            <w:hyperlink r:id="rId7" w:history="1">
              <w:r w:rsidR="00E11BAA" w:rsidRPr="00C6486F">
                <w:rPr>
                  <w:rFonts w:ascii="Calibri" w:eastAsia="Times New Roman" w:hAnsi="Calibri" w:cs="Arial"/>
                  <w:b/>
                  <w:color w:val="0000FF"/>
                  <w:sz w:val="18"/>
                  <w:szCs w:val="18"/>
                  <w:u w:val="single"/>
                  <w:lang w:eastAsia="fr-FR"/>
                </w:rPr>
                <w:t>www.brahin-avocats.com</w:t>
              </w:r>
            </w:hyperlink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nicolas.brahin@brahin-avocats.com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7"/>
                <w:szCs w:val="17"/>
                <w:lang w:eastAsia="fr-FR"/>
              </w:rPr>
            </w:pP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fr-FR"/>
              </w:rPr>
            </w:pPr>
            <w:r w:rsidRPr="00C6486F">
              <w:rPr>
                <w:rFonts w:ascii="Calibri" w:eastAsia="Times New Roman" w:hAnsi="Calibri" w:cs="Arial"/>
                <w:b/>
                <w:sz w:val="18"/>
                <w:szCs w:val="18"/>
                <w:lang w:eastAsia="fr-FR"/>
              </w:rPr>
              <w:t>Nicolas Brahin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DESS Droit Bancaire et Financier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Université Paris I (Panthéon-Sorbonne)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fr-FR"/>
              </w:rPr>
            </w:pPr>
            <w:r w:rsidRPr="00C6486F">
              <w:rPr>
                <w:rFonts w:ascii="Calibri" w:eastAsia="Times New Roman" w:hAnsi="Calibri" w:cs="Arial"/>
                <w:b/>
                <w:sz w:val="18"/>
                <w:szCs w:val="18"/>
                <w:lang w:eastAsia="fr-FR"/>
              </w:rPr>
              <w:t>Céline Zekri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DEA Droit Immobilier Public et Privé, ICH Paris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Université de Nice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10"/>
                <w:lang w:eastAsia="fr-FR"/>
              </w:rPr>
            </w:pP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fr-FR"/>
              </w:rPr>
            </w:pPr>
            <w:r w:rsidRPr="00C6486F">
              <w:rPr>
                <w:rFonts w:ascii="Calibri" w:eastAsia="Times New Roman" w:hAnsi="Calibri" w:cs="Arial"/>
                <w:i/>
                <w:sz w:val="18"/>
                <w:szCs w:val="18"/>
                <w:lang w:eastAsia="fr-FR"/>
              </w:rPr>
              <w:t>Avocats au Barreau de Nice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10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_______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0"/>
                <w:szCs w:val="10"/>
                <w:lang w:eastAsia="fr-FR"/>
              </w:rPr>
            </w:pP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Correspondant organique de :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fr-FR"/>
              </w:rPr>
            </w:pPr>
            <w:proofErr w:type="spellStart"/>
            <w:r w:rsidRPr="00C6486F">
              <w:rPr>
                <w:rFonts w:ascii="Calibri" w:eastAsia="Times New Roman" w:hAnsi="Calibri" w:cs="Arial"/>
                <w:b/>
                <w:sz w:val="18"/>
                <w:szCs w:val="18"/>
                <w:lang w:eastAsia="fr-FR"/>
              </w:rPr>
              <w:t>Legipass</w:t>
            </w:r>
            <w:proofErr w:type="spellEnd"/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C6486F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8, rue Auber - 75009 PARIS</w:t>
            </w:r>
          </w:p>
          <w:p w:rsidR="00E11BAA" w:rsidRPr="005F3F7B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 w:eastAsia="fr-FR"/>
              </w:rPr>
            </w:pPr>
            <w:r w:rsidRPr="005F3F7B">
              <w:rPr>
                <w:rFonts w:ascii="Calibri" w:eastAsia="Times New Roman" w:hAnsi="Calibri" w:cs="Arial"/>
                <w:sz w:val="16"/>
                <w:szCs w:val="16"/>
                <w:lang w:val="en-US" w:eastAsia="fr-FR"/>
              </w:rPr>
              <w:t>www.legipass.comm</w:t>
            </w:r>
          </w:p>
          <w:p w:rsidR="00E11BAA" w:rsidRPr="005F3F7B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US" w:eastAsia="fr-FR"/>
              </w:rPr>
            </w:pPr>
            <w:r w:rsidRPr="005F3F7B">
              <w:rPr>
                <w:rFonts w:ascii="Calibri" w:eastAsia="Times New Roman" w:hAnsi="Calibri" w:cs="Arial"/>
                <w:b/>
                <w:sz w:val="18"/>
                <w:szCs w:val="18"/>
                <w:lang w:val="en-US" w:eastAsia="fr-FR"/>
              </w:rPr>
              <w:t xml:space="preserve">Finn Larsen </w:t>
            </w:r>
            <w:proofErr w:type="spellStart"/>
            <w:r w:rsidRPr="005F3F7B">
              <w:rPr>
                <w:rFonts w:ascii="Calibri" w:eastAsia="Times New Roman" w:hAnsi="Calibri" w:cs="Arial"/>
                <w:b/>
                <w:sz w:val="18"/>
                <w:szCs w:val="18"/>
                <w:lang w:val="en-US" w:eastAsia="fr-FR"/>
              </w:rPr>
              <w:t>Advokatfirma</w:t>
            </w:r>
            <w:proofErr w:type="spellEnd"/>
          </w:p>
          <w:p w:rsidR="00E11BAA" w:rsidRPr="005F3F7B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5F3F7B">
              <w:rPr>
                <w:rFonts w:ascii="Calibri" w:eastAsia="Times New Roman" w:hAnsi="Calibri" w:cs="Helvetica"/>
                <w:color w:val="000000"/>
                <w:sz w:val="16"/>
                <w:szCs w:val="16"/>
                <w:lang w:val="en-US" w:eastAsia="fr-FR"/>
              </w:rPr>
              <w:t>Algade</w:t>
            </w:r>
            <w:proofErr w:type="spellEnd"/>
            <w:r w:rsidRPr="005F3F7B">
              <w:rPr>
                <w:rFonts w:ascii="Calibri" w:eastAsia="Times New Roman" w:hAnsi="Calibri" w:cs="Helvetica"/>
                <w:color w:val="000000"/>
                <w:sz w:val="16"/>
                <w:szCs w:val="16"/>
                <w:lang w:val="en-US" w:eastAsia="fr-FR"/>
              </w:rPr>
              <w:t xml:space="preserve"> 43, 1 - 4000 Roskilde -</w:t>
            </w:r>
            <w:proofErr w:type="spellStart"/>
            <w:r w:rsidRPr="005F3F7B">
              <w:rPr>
                <w:rFonts w:ascii="Calibri" w:eastAsia="Times New Roman" w:hAnsi="Calibri" w:cs="Helvetica"/>
                <w:color w:val="000000"/>
                <w:sz w:val="16"/>
                <w:szCs w:val="16"/>
                <w:lang w:val="en-US" w:eastAsia="fr-FR"/>
              </w:rPr>
              <w:t>Danemark</w:t>
            </w:r>
            <w:proofErr w:type="spellEnd"/>
          </w:p>
          <w:p w:rsidR="00E11BAA" w:rsidRPr="005F3F7B" w:rsidRDefault="004810E5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 w:eastAsia="fr-FR"/>
              </w:rPr>
            </w:pPr>
            <w:hyperlink r:id="rId8" w:history="1">
              <w:r w:rsidR="00E11BAA" w:rsidRPr="005F3F7B">
                <w:rPr>
                  <w:rFonts w:ascii="Calibri" w:eastAsia="Times New Roman" w:hAnsi="Calibri" w:cs="Arial"/>
                  <w:color w:val="0000FF"/>
                  <w:sz w:val="16"/>
                  <w:szCs w:val="16"/>
                  <w:u w:val="single"/>
                  <w:lang w:val="en-US" w:eastAsia="fr-FR"/>
                </w:rPr>
                <w:t>www.advokat-firma.dk</w:t>
              </w:r>
            </w:hyperlink>
          </w:p>
          <w:p w:rsidR="00E11BAA" w:rsidRPr="005F3F7B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 w:eastAsia="fr-FR"/>
              </w:rPr>
            </w:pPr>
          </w:p>
          <w:p w:rsidR="00E11BAA" w:rsidRPr="005F3F7B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US" w:eastAsia="fr-FR"/>
              </w:rPr>
            </w:pPr>
            <w:r w:rsidRPr="005F3F7B">
              <w:rPr>
                <w:rFonts w:ascii="Calibri" w:eastAsia="Times New Roman" w:hAnsi="Calibri" w:cs="Arial"/>
                <w:b/>
                <w:sz w:val="16"/>
                <w:szCs w:val="16"/>
                <w:lang w:val="en-US" w:eastAsia="fr-FR"/>
              </w:rPr>
              <w:t>Horizons China Corporate advisory</w:t>
            </w:r>
          </w:p>
          <w:p w:rsidR="00E11BAA" w:rsidRPr="005F3F7B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n-US" w:eastAsia="fr-FR"/>
              </w:rPr>
            </w:pPr>
            <w:r w:rsidRPr="005F3F7B">
              <w:rPr>
                <w:rFonts w:ascii="Calibri" w:eastAsia="Times New Roman" w:hAnsi="Calibri" w:cs="Arial"/>
                <w:sz w:val="16"/>
                <w:szCs w:val="16"/>
                <w:lang w:val="en-US" w:eastAsia="fr-FR"/>
              </w:rPr>
              <w:t xml:space="preserve">1801 Lippo Plaza, 222, </w:t>
            </w:r>
            <w:proofErr w:type="spellStart"/>
            <w:r w:rsidRPr="005F3F7B">
              <w:rPr>
                <w:rFonts w:ascii="Calibri" w:eastAsia="Times New Roman" w:hAnsi="Calibri" w:cs="Arial"/>
                <w:sz w:val="16"/>
                <w:szCs w:val="16"/>
                <w:lang w:val="en-US" w:eastAsia="fr-FR"/>
              </w:rPr>
              <w:t>Huaihai</w:t>
            </w:r>
            <w:proofErr w:type="spellEnd"/>
            <w:r w:rsidRPr="005F3F7B">
              <w:rPr>
                <w:rFonts w:ascii="Calibri" w:eastAsia="Times New Roman" w:hAnsi="Calibri" w:cs="Arial"/>
                <w:sz w:val="16"/>
                <w:szCs w:val="16"/>
                <w:lang w:val="en-US" w:eastAsia="fr-FR"/>
              </w:rPr>
              <w:t xml:space="preserve"> Middle Road</w:t>
            </w:r>
          </w:p>
          <w:p w:rsidR="00E11BAA" w:rsidRPr="001618E1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1618E1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Huangpu, SHANGAI PR China 200021</w:t>
            </w:r>
          </w:p>
          <w:p w:rsidR="00E11BAA" w:rsidRPr="00C6486F" w:rsidRDefault="004810E5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hyperlink r:id="rId9" w:history="1">
              <w:r w:rsidR="00E11BAA" w:rsidRPr="00C6486F">
                <w:rPr>
                  <w:rFonts w:ascii="Calibri" w:eastAsia="Times New Roman" w:hAnsi="Calibri" w:cs="Arial"/>
                  <w:color w:val="0000FF"/>
                  <w:sz w:val="16"/>
                  <w:szCs w:val="16"/>
                  <w:u w:val="single"/>
                  <w:lang w:eastAsia="fr-FR"/>
                </w:rPr>
                <w:t>www.horizons-advisory.com</w:t>
              </w:r>
            </w:hyperlink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6267" w:type="dxa"/>
            <w:gridSpan w:val="2"/>
          </w:tcPr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40"/>
                <w:sz w:val="40"/>
                <w:szCs w:val="40"/>
                <w:lang w:val="en-US" w:eastAsia="fr-FR"/>
              </w:rPr>
            </w:pPr>
            <w:r w:rsidRPr="00C6486F">
              <w:rPr>
                <w:rFonts w:ascii="Calibri" w:eastAsia="Times New Roman" w:hAnsi="Calibri" w:cs="Arial"/>
                <w:b/>
                <w:spacing w:val="40"/>
                <w:sz w:val="40"/>
                <w:szCs w:val="40"/>
                <w:lang w:val="en-US" w:eastAsia="fr-FR"/>
              </w:rPr>
              <w:t>Cabinet Brahin</w:t>
            </w:r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mallCaps/>
                <w:sz w:val="20"/>
                <w:szCs w:val="20"/>
                <w:lang w:val="en-GB" w:eastAsia="fr-FR"/>
              </w:rPr>
            </w:pPr>
            <w:proofErr w:type="spellStart"/>
            <w:r w:rsidRPr="00C6486F">
              <w:rPr>
                <w:rFonts w:ascii="Calibri" w:eastAsia="Times New Roman" w:hAnsi="Calibri" w:cs="Times New Roman"/>
                <w:smallCaps/>
                <w:sz w:val="20"/>
                <w:szCs w:val="20"/>
                <w:lang w:val="en-GB" w:eastAsia="fr-FR"/>
              </w:rPr>
              <w:t>Advokatfirma</w:t>
            </w:r>
            <w:proofErr w:type="spellEnd"/>
            <w:r w:rsidRPr="00C6486F">
              <w:rPr>
                <w:rFonts w:ascii="Calibri" w:eastAsia="Times New Roman" w:hAnsi="Calibri" w:cs="Times New Roman"/>
                <w:smallCap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C6486F">
              <w:rPr>
                <w:rFonts w:ascii="Calibri" w:eastAsia="Times New Roman" w:hAnsi="Calibri" w:cs="Times New Roman"/>
                <w:smallCaps/>
                <w:sz w:val="20"/>
                <w:szCs w:val="20"/>
                <w:lang w:val="en-GB" w:eastAsia="fr-FR"/>
              </w:rPr>
              <w:t>i</w:t>
            </w:r>
            <w:proofErr w:type="spellEnd"/>
            <w:r w:rsidRPr="00C6486F">
              <w:rPr>
                <w:rFonts w:ascii="Calibri" w:eastAsia="Times New Roman" w:hAnsi="Calibri" w:cs="Times New Roman"/>
                <w:smallCaps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C6486F">
              <w:rPr>
                <w:rFonts w:ascii="Calibri" w:eastAsia="Times New Roman" w:hAnsi="Calibri" w:cs="Times New Roman"/>
                <w:smallCaps/>
                <w:sz w:val="20"/>
                <w:szCs w:val="20"/>
                <w:lang w:val="en-GB" w:eastAsia="fr-FR"/>
              </w:rPr>
              <w:t>Frankrig</w:t>
            </w:r>
            <w:proofErr w:type="spellEnd"/>
            <w:r w:rsidRPr="00C6486F">
              <w:rPr>
                <w:rFonts w:ascii="Calibri" w:eastAsia="Times New Roman" w:hAnsi="Calibri" w:cs="Times New Roman"/>
                <w:smallCaps/>
                <w:sz w:val="20"/>
                <w:szCs w:val="20"/>
                <w:lang w:val="en-GB" w:eastAsia="fr-FR"/>
              </w:rPr>
              <w:t xml:space="preserve">   /   Lawyers Office in </w:t>
            </w:r>
            <w:smartTag w:uri="urn:schemas-microsoft-com:office:smarttags" w:element="country-region">
              <w:smartTag w:uri="urn:schemas-microsoft-com:office:smarttags" w:element="place">
                <w:r w:rsidRPr="00C6486F">
                  <w:rPr>
                    <w:rFonts w:ascii="Calibri" w:eastAsia="Times New Roman" w:hAnsi="Calibri" w:cs="Times New Roman"/>
                    <w:smallCaps/>
                    <w:sz w:val="20"/>
                    <w:szCs w:val="20"/>
                    <w:lang w:val="en-GB" w:eastAsia="fr-FR"/>
                  </w:rPr>
                  <w:t>France</w:t>
                </w:r>
              </w:smartTag>
            </w:smartTag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38"/>
                <w:sz w:val="40"/>
                <w:szCs w:val="40"/>
                <w:lang w:val="en-US" w:eastAsia="fr-FR"/>
              </w:rPr>
            </w:pPr>
          </w:p>
        </w:tc>
      </w:tr>
      <w:tr w:rsidR="00E11BAA" w:rsidRPr="000D1077" w:rsidTr="004E2585">
        <w:trPr>
          <w:trHeight w:val="2286"/>
        </w:trPr>
        <w:tc>
          <w:tcPr>
            <w:tcW w:w="3686" w:type="dxa"/>
            <w:vMerge/>
          </w:tcPr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n-US" w:eastAsia="fr-FR"/>
              </w:rPr>
            </w:pPr>
          </w:p>
        </w:tc>
        <w:tc>
          <w:tcPr>
            <w:tcW w:w="284" w:type="dxa"/>
          </w:tcPr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38"/>
                <w:sz w:val="21"/>
                <w:szCs w:val="21"/>
                <w:lang w:val="en-US" w:eastAsia="fr-FR"/>
              </w:rPr>
            </w:pPr>
          </w:p>
        </w:tc>
        <w:tc>
          <w:tcPr>
            <w:tcW w:w="5983" w:type="dxa"/>
          </w:tcPr>
          <w:p w:rsidR="00E11BAA" w:rsidRPr="00C6486F" w:rsidRDefault="00E11BAA" w:rsidP="004E2585">
            <w:pPr>
              <w:tabs>
                <w:tab w:val="center" w:pos="21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</w:p>
          <w:p w:rsidR="00E11BAA" w:rsidRPr="00C6486F" w:rsidRDefault="00E11BAA" w:rsidP="004E2585">
            <w:pPr>
              <w:tabs>
                <w:tab w:val="center" w:pos="21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</w:p>
          <w:p w:rsidR="00E11BAA" w:rsidRPr="00C6486F" w:rsidRDefault="00E11BAA" w:rsidP="004E2585">
            <w:pPr>
              <w:tabs>
                <w:tab w:val="center" w:pos="21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C64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By email :</w:t>
            </w:r>
          </w:p>
          <w:p w:rsidR="00E11BAA" w:rsidRPr="00C6486F" w:rsidRDefault="00E11BAA" w:rsidP="004E2585">
            <w:pPr>
              <w:tabs>
                <w:tab w:val="center" w:pos="21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Number of pages: 3</w:t>
            </w:r>
            <w:r w:rsidRPr="00C64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</w:t>
            </w:r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E11BAA" w:rsidRPr="00C6486F" w:rsidRDefault="00E11BAA" w:rsidP="004E258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Nice, </w:t>
            </w:r>
            <w:r w:rsidR="00DB7C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</w:t>
            </w:r>
            <w:r w:rsidRPr="005F3F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of June</w:t>
            </w:r>
            <w:r w:rsidRPr="00C64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2016</w:t>
            </w:r>
          </w:p>
          <w:p w:rsidR="00E11BAA" w:rsidRPr="00C6486F" w:rsidRDefault="00E11BAA" w:rsidP="004E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E11BAA" w:rsidRDefault="00E11BAA" w:rsidP="00E11BAA">
      <w:pPr>
        <w:rPr>
          <w:sz w:val="28"/>
          <w:szCs w:val="28"/>
          <w:u w:val="single"/>
          <w:lang w:val="en-GB"/>
        </w:rPr>
      </w:pPr>
    </w:p>
    <w:p w:rsidR="00E11BAA" w:rsidRDefault="00E11BAA" w:rsidP="00E11BAA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F97052">
        <w:rPr>
          <w:rFonts w:ascii="Times New Roman" w:hAnsi="Times New Roman" w:cs="Times New Roman"/>
          <w:b/>
          <w:sz w:val="24"/>
          <w:u w:val="single"/>
          <w:lang w:val="en-US"/>
        </w:rPr>
        <w:t>The contractual termination might be the final straw of the amicable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termination of the employment agreement</w:t>
      </w:r>
    </w:p>
    <w:p w:rsidR="00E11BAA" w:rsidRDefault="00E11BAA" w:rsidP="00E11BAA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 results from the combination of articles L1231-1</w:t>
      </w:r>
      <w:r>
        <w:rPr>
          <w:rStyle w:val="Appelnotedebasdep"/>
          <w:rFonts w:ascii="Times New Roman" w:hAnsi="Times New Roman" w:cs="Times New Roman"/>
          <w:sz w:val="24"/>
          <w:lang w:val="en-US"/>
        </w:rPr>
        <w:footnoteReference w:id="1"/>
      </w:r>
      <w:r>
        <w:rPr>
          <w:rFonts w:ascii="Times New Roman" w:hAnsi="Times New Roman" w:cs="Times New Roman"/>
          <w:sz w:val="24"/>
          <w:lang w:val="en-US"/>
        </w:rPr>
        <w:t xml:space="preserve"> and L1237-11</w:t>
      </w:r>
      <w:r>
        <w:rPr>
          <w:rStyle w:val="Appelnotedebasdep"/>
          <w:rFonts w:ascii="Times New Roman" w:hAnsi="Times New Roman" w:cs="Times New Roman"/>
          <w:sz w:val="24"/>
          <w:lang w:val="en-US"/>
        </w:rPr>
        <w:footnoteReference w:id="2"/>
      </w:r>
      <w:r>
        <w:rPr>
          <w:rFonts w:ascii="Times New Roman" w:hAnsi="Times New Roman" w:cs="Times New Roman"/>
          <w:sz w:val="24"/>
          <w:lang w:val="en-US"/>
        </w:rPr>
        <w:t xml:space="preserve"> of the French Employment Code </w:t>
      </w:r>
      <w:r w:rsidR="00DB7C67">
        <w:rPr>
          <w:rFonts w:ascii="Times New Roman" w:hAnsi="Times New Roman" w:cs="Times New Roman"/>
          <w:i/>
          <w:sz w:val="24"/>
          <w:lang w:val="en-US"/>
        </w:rPr>
        <w:t xml:space="preserve">(“Code du Travail </w:t>
      </w:r>
      <w:r w:rsidR="00720AE0" w:rsidRPr="00720AE0">
        <w:rPr>
          <w:rFonts w:ascii="Times New Roman" w:hAnsi="Times New Roman" w:cs="Times New Roman"/>
          <w:i/>
          <w:sz w:val="24"/>
        </w:rPr>
        <w:t>fr</w:t>
      </w:r>
      <w:r w:rsidR="00DB7C67" w:rsidRPr="00720AE0">
        <w:rPr>
          <w:rFonts w:ascii="Times New Roman" w:hAnsi="Times New Roman" w:cs="Times New Roman"/>
          <w:i/>
          <w:sz w:val="24"/>
        </w:rPr>
        <w:t>ançais</w:t>
      </w:r>
      <w:r w:rsidR="00DB7C67">
        <w:rPr>
          <w:rFonts w:ascii="Times New Roman" w:hAnsi="Times New Roman" w:cs="Times New Roman"/>
          <w:i/>
          <w:sz w:val="24"/>
          <w:lang w:val="en-US"/>
        </w:rPr>
        <w:t xml:space="preserve">”) </w:t>
      </w:r>
      <w:r>
        <w:rPr>
          <w:rFonts w:ascii="Times New Roman" w:hAnsi="Times New Roman" w:cs="Times New Roman"/>
          <w:sz w:val="24"/>
          <w:lang w:val="en-US"/>
        </w:rPr>
        <w:t xml:space="preserve">that the contractual termination of the employment agreement can only intervene as required by the legal rules which regulate this way of termination. </w:t>
      </w: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Those rules are intended to guarantee the freedom of consent of the parties. </w:t>
      </w: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This is what the </w:t>
      </w:r>
      <w:r w:rsidR="00DB7C67">
        <w:rPr>
          <w:rFonts w:ascii="Times New Roman" w:hAnsi="Times New Roman" w:cs="Times New Roman"/>
          <w:sz w:val="24"/>
          <w:lang w:val="en-US"/>
        </w:rPr>
        <w:t xml:space="preserve">French Highest Court or </w:t>
      </w:r>
      <w:r w:rsidR="00DB7C67" w:rsidRPr="00DB7C67">
        <w:rPr>
          <w:rFonts w:ascii="Times New Roman" w:hAnsi="Times New Roman" w:cs="Times New Roman"/>
          <w:i/>
          <w:sz w:val="24"/>
          <w:lang w:val="en-US"/>
        </w:rPr>
        <w:t>“</w:t>
      </w:r>
      <w:r w:rsidRPr="00DB7C67">
        <w:rPr>
          <w:rFonts w:ascii="Times New Roman" w:hAnsi="Times New Roman" w:cs="Times New Roman"/>
          <w:i/>
          <w:sz w:val="24"/>
          <w:lang w:val="en-US"/>
        </w:rPr>
        <w:t>Cour de Cassation</w:t>
      </w:r>
      <w:r w:rsidR="00DB7C67" w:rsidRPr="00DB7C67">
        <w:rPr>
          <w:rFonts w:ascii="Times New Roman" w:hAnsi="Times New Roman" w:cs="Times New Roman"/>
          <w:i/>
          <w:sz w:val="24"/>
          <w:lang w:val="en-US"/>
        </w:rPr>
        <w:t>”</w:t>
      </w:r>
      <w:r>
        <w:rPr>
          <w:rFonts w:ascii="Times New Roman" w:hAnsi="Times New Roman" w:cs="Times New Roman"/>
          <w:sz w:val="24"/>
          <w:lang w:val="en-US"/>
        </w:rPr>
        <w:t xml:space="preserve"> sums up in its ruling of 15th October 2014</w:t>
      </w:r>
      <w:r>
        <w:rPr>
          <w:rStyle w:val="Appelnotedebasdep"/>
          <w:rFonts w:ascii="Times New Roman" w:hAnsi="Times New Roman" w:cs="Times New Roman"/>
          <w:sz w:val="24"/>
          <w:lang w:val="en-US"/>
        </w:rPr>
        <w:footnoteReference w:id="3"/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Does this ruling mark the end of the amicable termination of the agreement?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From a legal point of view, do the parties still have recourse to terminate the relationship by mutual agreement based on article 1134 al.2</w:t>
      </w:r>
      <w:r>
        <w:rPr>
          <w:rStyle w:val="Appelnotedebasdep"/>
          <w:rFonts w:ascii="Times New Roman" w:hAnsi="Times New Roman" w:cs="Times New Roman"/>
          <w:sz w:val="24"/>
          <w:lang w:val="en-US"/>
        </w:rPr>
        <w:footnoteReference w:id="4"/>
      </w:r>
      <w:r>
        <w:rPr>
          <w:rFonts w:ascii="Times New Roman" w:hAnsi="Times New Roman" w:cs="Times New Roman"/>
          <w:sz w:val="24"/>
          <w:lang w:val="en-US"/>
        </w:rPr>
        <w:t xml:space="preserve"> of the French Civil Code </w:t>
      </w:r>
      <w:r w:rsidR="00DB7C67">
        <w:rPr>
          <w:rFonts w:ascii="Times New Roman" w:hAnsi="Times New Roman" w:cs="Times New Roman"/>
          <w:sz w:val="24"/>
          <w:lang w:val="en-US"/>
        </w:rPr>
        <w:t>(</w:t>
      </w:r>
      <w:r w:rsidR="00DB7C67">
        <w:rPr>
          <w:rFonts w:ascii="Times New Roman" w:hAnsi="Times New Roman" w:cs="Times New Roman"/>
          <w:i/>
          <w:sz w:val="24"/>
          <w:lang w:val="en-US"/>
        </w:rPr>
        <w:t xml:space="preserve">“Code civil </w:t>
      </w:r>
      <w:r w:rsidR="00DB7C67" w:rsidRPr="00720AE0">
        <w:rPr>
          <w:rFonts w:ascii="Times New Roman" w:hAnsi="Times New Roman" w:cs="Times New Roman"/>
          <w:i/>
          <w:sz w:val="24"/>
          <w:lang w:val="en-US"/>
        </w:rPr>
        <w:t>français</w:t>
      </w:r>
      <w:r w:rsidR="00DB7C67">
        <w:rPr>
          <w:rFonts w:ascii="Times New Roman" w:hAnsi="Times New Roman" w:cs="Times New Roman"/>
          <w:i/>
          <w:sz w:val="24"/>
          <w:lang w:val="en-US"/>
        </w:rPr>
        <w:t xml:space="preserve">”) </w:t>
      </w:r>
      <w:r>
        <w:rPr>
          <w:rFonts w:ascii="Times New Roman" w:hAnsi="Times New Roman" w:cs="Times New Roman"/>
          <w:sz w:val="24"/>
          <w:lang w:val="en-US"/>
        </w:rPr>
        <w:t xml:space="preserve">and the previous jurisprudence? </w:t>
      </w: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This issue is not new and both legal doctrine and magistrate are concerned about it.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Since the entry into force of the contractual termination’s measure</w:t>
      </w:r>
      <w:r>
        <w:rPr>
          <w:rStyle w:val="Appelnotedebasdep"/>
          <w:rFonts w:ascii="Times New Roman" w:hAnsi="Times New Roman" w:cs="Times New Roman"/>
          <w:sz w:val="24"/>
          <w:lang w:val="en-US"/>
        </w:rPr>
        <w:footnoteReference w:id="5"/>
      </w:r>
      <w:r>
        <w:rPr>
          <w:rFonts w:ascii="Times New Roman" w:hAnsi="Times New Roman" w:cs="Times New Roman"/>
          <w:sz w:val="24"/>
          <w:lang w:val="en-US"/>
        </w:rPr>
        <w:t xml:space="preserve">, the doctrine soon understood that both employer and employee can no longer have recourse to the amicable termination.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French jurisdictions and the French High Court keep up with the pace</w:t>
      </w:r>
      <w:r>
        <w:rPr>
          <w:rStyle w:val="Appelnotedebasdep"/>
          <w:rFonts w:ascii="Times New Roman" w:hAnsi="Times New Roman" w:cs="Times New Roman"/>
          <w:sz w:val="24"/>
          <w:lang w:val="en-US"/>
        </w:rPr>
        <w:footnoteReference w:id="6"/>
      </w:r>
      <w:r>
        <w:rPr>
          <w:rFonts w:ascii="Times New Roman" w:hAnsi="Times New Roman" w:cs="Times New Roman"/>
          <w:sz w:val="24"/>
          <w:lang w:val="en-US"/>
        </w:rPr>
        <w:t xml:space="preserve">.  </w:t>
      </w: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11BAA" w:rsidRDefault="00E11BAA" w:rsidP="00E11B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The contractual termination “ordinary law” of the negotiated termination of the employment agreement</w:t>
      </w:r>
    </w:p>
    <w:p w:rsidR="00E11BAA" w:rsidRDefault="00E11BAA" w:rsidP="00E11B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Cour de Cassation made it clear in a legal ground principle which will be explained in the following words.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An employment agreement can be terminate by mutual agreement or on the initiative of the employer or employee.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If the contract is terminated by mutual agreement, an agreement between the parties concerning this kind of termination will be required.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Thus, the contractual termination’s validity can be checked.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That means that the consent of the two parties can be considered.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is the result of the combination of articles L1231-1</w:t>
      </w:r>
      <w:r>
        <w:rPr>
          <w:rStyle w:val="Appelnotedebasdep"/>
          <w:rFonts w:ascii="Times New Roman" w:hAnsi="Times New Roman" w:cs="Times New Roman"/>
          <w:sz w:val="24"/>
          <w:lang w:val="en-US"/>
        </w:rPr>
        <w:footnoteReference w:id="7"/>
      </w:r>
      <w:r>
        <w:rPr>
          <w:rFonts w:ascii="Times New Roman" w:hAnsi="Times New Roman" w:cs="Times New Roman"/>
          <w:sz w:val="24"/>
          <w:lang w:val="en-US"/>
        </w:rPr>
        <w:t xml:space="preserve"> and L1237-11</w:t>
      </w:r>
      <w:r>
        <w:rPr>
          <w:rStyle w:val="Appelnotedebasdep"/>
          <w:rFonts w:ascii="Times New Roman" w:hAnsi="Times New Roman" w:cs="Times New Roman"/>
          <w:sz w:val="24"/>
          <w:lang w:val="en-US"/>
        </w:rPr>
        <w:footnoteReference w:id="8"/>
      </w:r>
      <w:r>
        <w:rPr>
          <w:rFonts w:ascii="Times New Roman" w:hAnsi="Times New Roman" w:cs="Times New Roman"/>
          <w:sz w:val="24"/>
          <w:lang w:val="en-US"/>
        </w:rPr>
        <w:t xml:space="preserve"> of the French Employment Code</w:t>
      </w:r>
      <w:r w:rsidR="00DB7C67">
        <w:rPr>
          <w:rFonts w:ascii="Times New Roman" w:hAnsi="Times New Roman" w:cs="Times New Roman"/>
          <w:i/>
          <w:sz w:val="24"/>
          <w:lang w:val="en-US"/>
        </w:rPr>
        <w:t xml:space="preserve"> (“Code du Travail </w:t>
      </w:r>
      <w:r w:rsidR="00DB7C67" w:rsidRPr="00720AE0">
        <w:rPr>
          <w:rFonts w:ascii="Times New Roman" w:hAnsi="Times New Roman" w:cs="Times New Roman"/>
          <w:i/>
          <w:sz w:val="24"/>
        </w:rPr>
        <w:t>français</w:t>
      </w:r>
      <w:r w:rsidR="00DB7C67">
        <w:rPr>
          <w:rFonts w:ascii="Times New Roman" w:hAnsi="Times New Roman" w:cs="Times New Roman"/>
          <w:i/>
          <w:sz w:val="24"/>
          <w:lang w:val="en-US"/>
        </w:rPr>
        <w:t>”)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If the contractual termination is accepted as a negotiated way to terminate the agreement, the provisions of article L1231-4</w:t>
      </w:r>
      <w:r>
        <w:rPr>
          <w:rStyle w:val="Appelnotedebasdep"/>
          <w:rFonts w:ascii="Times New Roman" w:hAnsi="Times New Roman" w:cs="Times New Roman"/>
          <w:sz w:val="24"/>
          <w:lang w:val="en-US"/>
        </w:rPr>
        <w:footnoteReference w:id="9"/>
      </w:r>
      <w:r>
        <w:rPr>
          <w:rFonts w:ascii="Times New Roman" w:hAnsi="Times New Roman" w:cs="Times New Roman"/>
          <w:sz w:val="24"/>
          <w:lang w:val="en-US"/>
        </w:rPr>
        <w:t xml:space="preserve"> of French Employment Code </w:t>
      </w:r>
      <w:r w:rsidR="00DB7C67">
        <w:rPr>
          <w:rFonts w:ascii="Times New Roman" w:hAnsi="Times New Roman" w:cs="Times New Roman"/>
          <w:sz w:val="24"/>
          <w:lang w:val="en-US"/>
        </w:rPr>
        <w:t>(“</w:t>
      </w:r>
      <w:r>
        <w:rPr>
          <w:rFonts w:ascii="Times New Roman" w:hAnsi="Times New Roman" w:cs="Times New Roman"/>
          <w:sz w:val="24"/>
          <w:lang w:val="en-US"/>
        </w:rPr>
        <w:t xml:space="preserve">should not be ignored.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B7C67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This article provides that the parties cannot foresee to renounce in advance to invoke the rules about termination of permanent employment agreement contained in the French Employment Code.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Those rules are made for both employee and employer in order to protect them. </w:t>
      </w:r>
    </w:p>
    <w:p w:rsidR="00DB7C67" w:rsidRDefault="00DB7C67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Those arguments mean that any termination, amicable or negotiated, which doesn’t come within the scope of specific provisions of contractual termination and legal exceptions, constitutes de facto a redundancy without actual and serious basis. </w:t>
      </w:r>
    </w:p>
    <w:p w:rsidR="00720AE0" w:rsidRDefault="00720AE0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11BAA" w:rsidRDefault="00E11BAA" w:rsidP="00E1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20AE0" w:rsidRPr="00422DE5" w:rsidRDefault="00720AE0" w:rsidP="00720AE0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22DE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Nicolas BRAHIN, </w:t>
      </w:r>
      <w:r w:rsidRPr="00720AE0">
        <w:rPr>
          <w:rFonts w:ascii="Times New Roman" w:hAnsi="Times New Roman" w:cs="Times New Roman"/>
          <w:sz w:val="28"/>
          <w:szCs w:val="28"/>
          <w:u w:val="single"/>
        </w:rPr>
        <w:t>Avocat</w:t>
      </w:r>
    </w:p>
    <w:p w:rsidR="00720AE0" w:rsidRPr="00422DE5" w:rsidRDefault="00720AE0" w:rsidP="00720AE0">
      <w:pPr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422DE5">
        <w:rPr>
          <w:rFonts w:ascii="Times New Roman" w:hAnsi="Times New Roman" w:cs="Times New Roman"/>
          <w:i/>
          <w:sz w:val="24"/>
          <w:szCs w:val="28"/>
          <w:lang w:val="en-US"/>
        </w:rPr>
        <w:t>Master’s Degree in Banking and Financial Law</w:t>
      </w:r>
    </w:p>
    <w:p w:rsidR="00720AE0" w:rsidRPr="00422DE5" w:rsidRDefault="00720AE0" w:rsidP="00720AE0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22DE5">
        <w:rPr>
          <w:rFonts w:ascii="Times New Roman" w:hAnsi="Times New Roman" w:cs="Times New Roman"/>
          <w:i/>
          <w:sz w:val="24"/>
          <w:szCs w:val="28"/>
        </w:rPr>
        <w:t>Université Panthéon-Sorbonne</w:t>
      </w:r>
    </w:p>
    <w:p w:rsidR="00720AE0" w:rsidRPr="00422DE5" w:rsidRDefault="00720AE0" w:rsidP="00720AE0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422DE5">
        <w:rPr>
          <w:rFonts w:ascii="Times New Roman" w:hAnsi="Times New Roman" w:cs="Times New Roman"/>
          <w:szCs w:val="28"/>
        </w:rPr>
        <w:t>Email :</w:t>
      </w:r>
      <w:r w:rsidRPr="00422DE5">
        <w:rPr>
          <w:rFonts w:ascii="Times New Roman" w:hAnsi="Times New Roman" w:cs="Times New Roman"/>
          <w:szCs w:val="28"/>
          <w:u w:val="single"/>
        </w:rPr>
        <w:t xml:space="preserve"> </w:t>
      </w:r>
      <w:hyperlink r:id="rId10" w:history="1">
        <w:r w:rsidRPr="00422DE5">
          <w:rPr>
            <w:rStyle w:val="Lienhypertexte"/>
            <w:rFonts w:ascii="Times New Roman" w:hAnsi="Times New Roman" w:cs="Times New Roman"/>
            <w:szCs w:val="28"/>
          </w:rPr>
          <w:t>nicolas.brahin@brahin-avocats.com</w:t>
        </w:r>
      </w:hyperlink>
      <w:bookmarkStart w:id="0" w:name="_GoBack"/>
      <w:bookmarkEnd w:id="0"/>
    </w:p>
    <w:sectPr w:rsidR="00720AE0" w:rsidRPr="00422DE5" w:rsidSect="0011621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AA" w:rsidRDefault="00E11BAA" w:rsidP="00E11BAA">
      <w:pPr>
        <w:spacing w:after="0" w:line="240" w:lineRule="auto"/>
      </w:pPr>
      <w:r>
        <w:separator/>
      </w:r>
    </w:p>
  </w:endnote>
  <w:endnote w:type="continuationSeparator" w:id="0">
    <w:p w:rsidR="00E11BAA" w:rsidRDefault="00E11BAA" w:rsidP="00E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976239"/>
      <w:docPartObj>
        <w:docPartGallery w:val="Page Numbers (Bottom of Page)"/>
        <w:docPartUnique/>
      </w:docPartObj>
    </w:sdtPr>
    <w:sdtEndPr/>
    <w:sdtContent>
      <w:p w:rsidR="00A42E77" w:rsidRDefault="00E11B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0E5">
          <w:rPr>
            <w:noProof/>
          </w:rPr>
          <w:t>3</w:t>
        </w:r>
        <w:r>
          <w:fldChar w:fldCharType="end"/>
        </w:r>
      </w:p>
    </w:sdtContent>
  </w:sdt>
  <w:p w:rsidR="00A42E77" w:rsidRDefault="004810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19" w:rsidRPr="00582D2F" w:rsidRDefault="00E11BAA" w:rsidP="00116219">
    <w:pPr>
      <w:pStyle w:val="Pieddepage"/>
      <w:jc w:val="center"/>
      <w:rPr>
        <w:rFonts w:ascii="Calibri" w:hAnsi="Calibri" w:cs="Arial"/>
        <w:sz w:val="16"/>
        <w:szCs w:val="16"/>
      </w:rPr>
    </w:pPr>
    <w:r w:rsidRPr="00582D2F">
      <w:rPr>
        <w:rFonts w:ascii="Calibri" w:hAnsi="Calibri" w:cs="Arial"/>
        <w:sz w:val="16"/>
        <w:szCs w:val="16"/>
      </w:rPr>
      <w:t>Cabinet BRAHIN Société d’Exercice Libérale à Responsabilité Limitée inscrite au Barreau de NICE</w:t>
    </w:r>
  </w:p>
  <w:p w:rsidR="00116219" w:rsidRPr="00582D2F" w:rsidRDefault="00E11BAA" w:rsidP="00116219">
    <w:pPr>
      <w:pStyle w:val="Pieddepage"/>
      <w:jc w:val="center"/>
      <w:rPr>
        <w:rFonts w:ascii="Calibri" w:hAnsi="Calibri"/>
        <w:sz w:val="16"/>
        <w:szCs w:val="16"/>
        <w:lang w:val="it-IT"/>
      </w:rPr>
    </w:pPr>
    <w:r w:rsidRPr="00582D2F">
      <w:rPr>
        <w:rFonts w:ascii="Calibri" w:hAnsi="Calibri"/>
        <w:sz w:val="16"/>
        <w:szCs w:val="16"/>
        <w:u w:val="single"/>
        <w:lang w:val="it-IT"/>
      </w:rPr>
      <w:t>E-mai</w:t>
    </w:r>
    <w:r w:rsidRPr="00582D2F">
      <w:rPr>
        <w:rFonts w:ascii="Calibri" w:hAnsi="Calibri"/>
        <w:sz w:val="16"/>
        <w:szCs w:val="16"/>
        <w:lang w:val="it-IT"/>
      </w:rPr>
      <w:t>l:   info@brahin-avocats.com</w:t>
    </w:r>
  </w:p>
  <w:p w:rsidR="00116219" w:rsidRDefault="004810E5" w:rsidP="00116219">
    <w:pPr>
      <w:pStyle w:val="Pieddepage"/>
      <w:jc w:val="center"/>
      <w:rPr>
        <w:rFonts w:ascii="Calibri" w:hAnsi="Calibri" w:cs="Arial"/>
        <w:b/>
        <w:sz w:val="16"/>
        <w:szCs w:val="16"/>
      </w:rPr>
    </w:pPr>
    <w:hyperlink r:id="rId1" w:history="1">
      <w:r w:rsidR="00E11BAA" w:rsidRPr="00325244">
        <w:rPr>
          <w:rStyle w:val="Lienhypertexte"/>
          <w:rFonts w:ascii="Calibri" w:hAnsi="Calibri" w:cs="Arial"/>
          <w:b/>
          <w:sz w:val="16"/>
          <w:szCs w:val="16"/>
        </w:rPr>
        <w:t>www.Brahin-avocats.com</w:t>
      </w:r>
    </w:hyperlink>
  </w:p>
  <w:p w:rsidR="00116219" w:rsidRDefault="004810E5" w:rsidP="00116219">
    <w:pPr>
      <w:pStyle w:val="Pieddepage"/>
      <w:jc w:val="center"/>
      <w:rPr>
        <w:rFonts w:ascii="Calibri" w:hAnsi="Calibri" w:cs="Arial"/>
        <w:b/>
        <w:sz w:val="16"/>
        <w:szCs w:val="16"/>
      </w:rPr>
    </w:pPr>
  </w:p>
  <w:p w:rsidR="00116219" w:rsidRPr="00582D2F" w:rsidRDefault="004810E5" w:rsidP="00116219">
    <w:pPr>
      <w:pStyle w:val="Pieddepage"/>
      <w:jc w:val="center"/>
      <w:rPr>
        <w:rFonts w:ascii="Calibri" w:hAnsi="Calibri"/>
        <w:sz w:val="16"/>
        <w:szCs w:val="16"/>
      </w:rPr>
    </w:pPr>
  </w:p>
  <w:tbl>
    <w:tblPr>
      <w:tblStyle w:val="Grilledutableau"/>
      <w:tblW w:w="9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5018"/>
    </w:tblGrid>
    <w:tr w:rsidR="00116219" w:rsidTr="0062732E">
      <w:trPr>
        <w:trHeight w:val="816"/>
      </w:trPr>
      <w:tc>
        <w:tcPr>
          <w:tcW w:w="4719" w:type="dxa"/>
        </w:tcPr>
        <w:p w:rsidR="00116219" w:rsidRPr="002753D8" w:rsidRDefault="00E11BAA" w:rsidP="00116219">
          <w:pPr>
            <w:pStyle w:val="Pieddepage"/>
            <w:rPr>
              <w:rFonts w:ascii="Calibri" w:hAnsi="Calibri" w:cs="Arial"/>
              <w:sz w:val="16"/>
              <w:szCs w:val="16"/>
            </w:rPr>
          </w:pPr>
          <w:r w:rsidRPr="002753D8">
            <w:rPr>
              <w:rFonts w:ascii="Calibri" w:hAnsi="Calibri" w:cs="Arial"/>
              <w:b/>
              <w:sz w:val="16"/>
              <w:szCs w:val="16"/>
            </w:rPr>
            <w:t>BUREAU PRINCIPAL</w:t>
          </w:r>
          <w:r>
            <w:rPr>
              <w:rFonts w:ascii="Calibri" w:hAnsi="Calibri" w:cs="Arial"/>
              <w:sz w:val="16"/>
              <w:szCs w:val="16"/>
            </w:rPr>
            <w:t xml:space="preserve"> inscrit au Barreau de NICE (CP 427)</w:t>
          </w:r>
        </w:p>
        <w:p w:rsidR="00116219" w:rsidRPr="00F13DC0" w:rsidRDefault="00E11BAA" w:rsidP="00116219">
          <w:pPr>
            <w:pStyle w:val="Pieddepage"/>
            <w:rPr>
              <w:rFonts w:ascii="Calibri" w:hAnsi="Calibri"/>
              <w:sz w:val="16"/>
              <w:szCs w:val="16"/>
            </w:rPr>
          </w:pPr>
          <w:r w:rsidRPr="00F13DC0">
            <w:rPr>
              <w:rFonts w:ascii="Calibri" w:hAnsi="Calibri"/>
              <w:sz w:val="16"/>
              <w:szCs w:val="16"/>
            </w:rPr>
            <w:t xml:space="preserve">1, RUE LOUIS GASSIN  </w:t>
          </w:r>
          <w:r>
            <w:rPr>
              <w:rFonts w:ascii="Calibri" w:hAnsi="Calibri"/>
              <w:sz w:val="16"/>
              <w:szCs w:val="16"/>
            </w:rPr>
            <w:t>-</w:t>
          </w:r>
          <w:r w:rsidRPr="00F13DC0">
            <w:rPr>
              <w:rFonts w:ascii="Calibri" w:hAnsi="Calibri"/>
              <w:sz w:val="16"/>
              <w:szCs w:val="16"/>
            </w:rPr>
            <w:t xml:space="preserve">   </w:t>
          </w:r>
          <w:smartTag w:uri="urn:schemas-microsoft-com:office:smarttags" w:element="phone">
            <w:smartTagPr>
              <w:attr w:name="ls" w:val="trans"/>
            </w:smartTagPr>
            <w:r w:rsidRPr="00F13DC0">
              <w:rPr>
                <w:rFonts w:ascii="Calibri" w:hAnsi="Calibri"/>
                <w:sz w:val="16"/>
                <w:szCs w:val="16"/>
              </w:rPr>
              <w:t>06300</w:t>
            </w:r>
          </w:smartTag>
          <w:r w:rsidRPr="00F13DC0">
            <w:rPr>
              <w:rFonts w:ascii="Calibri" w:hAnsi="Calibri"/>
              <w:sz w:val="16"/>
              <w:szCs w:val="16"/>
            </w:rPr>
            <w:t xml:space="preserve"> NICE     FRANCE</w:t>
          </w:r>
        </w:p>
        <w:p w:rsidR="00116219" w:rsidRDefault="004810E5" w:rsidP="00116219">
          <w:pPr>
            <w:pStyle w:val="Pieddepage"/>
            <w:rPr>
              <w:rFonts w:ascii="Calibri" w:hAnsi="Calibri"/>
              <w:sz w:val="16"/>
              <w:szCs w:val="16"/>
            </w:rPr>
          </w:pPr>
        </w:p>
      </w:tc>
      <w:tc>
        <w:tcPr>
          <w:tcW w:w="5018" w:type="dxa"/>
        </w:tcPr>
        <w:p w:rsidR="00116219" w:rsidRDefault="00E11BAA" w:rsidP="00116219">
          <w:pPr>
            <w:pStyle w:val="Pieddepage"/>
            <w:rPr>
              <w:rFonts w:ascii="Calibri" w:hAnsi="Calibri"/>
              <w:sz w:val="16"/>
              <w:szCs w:val="16"/>
            </w:rPr>
          </w:pPr>
          <w:r w:rsidRPr="002753D8">
            <w:rPr>
              <w:rFonts w:ascii="Calibri" w:hAnsi="Calibri"/>
              <w:b/>
              <w:sz w:val="16"/>
              <w:szCs w:val="16"/>
            </w:rPr>
            <w:t>BUREAU SECONDAIRE</w:t>
          </w:r>
          <w:r>
            <w:rPr>
              <w:rFonts w:ascii="Calibri" w:hAnsi="Calibri"/>
              <w:sz w:val="16"/>
              <w:szCs w:val="16"/>
            </w:rPr>
            <w:t xml:space="preserve"> inscrit au Barreau de MONTPELLIER</w:t>
          </w:r>
        </w:p>
        <w:p w:rsidR="00116219" w:rsidRDefault="00E11BAA" w:rsidP="00116219">
          <w:pPr>
            <w:pStyle w:val="Pieddepage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14, Rue Ernest Michel   –   34000 MONTPELLIER</w:t>
          </w:r>
        </w:p>
        <w:p w:rsidR="00116219" w:rsidRPr="00E1189C" w:rsidRDefault="004810E5" w:rsidP="00116219">
          <w:pPr>
            <w:pStyle w:val="Pieddepage"/>
            <w:rPr>
              <w:rFonts w:ascii="Calibri" w:hAnsi="Calibri"/>
              <w:lang w:val="it-IT"/>
            </w:rPr>
          </w:pPr>
        </w:p>
        <w:p w:rsidR="00116219" w:rsidRDefault="00E11BAA" w:rsidP="00116219">
          <w:pPr>
            <w:pStyle w:val="Pieddepage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 w:cs="Arial"/>
              <w:b/>
            </w:rPr>
            <w:tab/>
          </w:r>
        </w:p>
      </w:tc>
    </w:tr>
  </w:tbl>
  <w:p w:rsidR="00320030" w:rsidRDefault="004810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AA" w:rsidRDefault="00E11BAA" w:rsidP="00E11BAA">
      <w:pPr>
        <w:spacing w:after="0" w:line="240" w:lineRule="auto"/>
      </w:pPr>
      <w:r>
        <w:separator/>
      </w:r>
    </w:p>
  </w:footnote>
  <w:footnote w:type="continuationSeparator" w:id="0">
    <w:p w:rsidR="00E11BAA" w:rsidRDefault="00E11BAA" w:rsidP="00E11BAA">
      <w:pPr>
        <w:spacing w:after="0" w:line="240" w:lineRule="auto"/>
      </w:pPr>
      <w:r>
        <w:continuationSeparator/>
      </w:r>
    </w:p>
  </w:footnote>
  <w:footnote w:id="1">
    <w:p w:rsidR="00E11BAA" w:rsidRDefault="00E11BAA" w:rsidP="00E11BAA">
      <w:pPr>
        <w:pStyle w:val="Notedebasdepage"/>
        <w:jc w:val="both"/>
      </w:pPr>
      <w:r w:rsidRPr="00357646">
        <w:rPr>
          <w:rStyle w:val="Appelnotedebasdep"/>
          <w:rFonts w:ascii="Times New Roman" w:hAnsi="Times New Roman" w:cs="Times New Roman"/>
        </w:rPr>
        <w:footnoteRef/>
      </w:r>
      <w:r w:rsidRPr="003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L1231 – 1 Code du Travail </w:t>
      </w:r>
      <w:r w:rsidRPr="00357646">
        <w:rPr>
          <w:rFonts w:ascii="Times New Roman" w:hAnsi="Times New Roman" w:cs="Times New Roman"/>
          <w:i/>
        </w:rPr>
        <w:t>« Le contrat de travail à durée indéterminée peut être rompu à l'initiative de l'employeur ou du salarié, ou d'un commun accord, dans les conditions prévues par les dispositions du présent titre. Ces dispositions ne sont pas applicables pendant la période d'essai »</w:t>
      </w:r>
      <w:r>
        <w:rPr>
          <w:rFonts w:ascii="Times New Roman" w:hAnsi="Times New Roman" w:cs="Times New Roman"/>
        </w:rPr>
        <w:t>.</w:t>
      </w:r>
    </w:p>
  </w:footnote>
  <w:footnote w:id="2">
    <w:p w:rsidR="00E11BAA" w:rsidRDefault="00E11BAA" w:rsidP="00E11BA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 </w:t>
      </w:r>
      <w:r>
        <w:rPr>
          <w:rFonts w:ascii="Times New Roman" w:hAnsi="Times New Roman" w:cs="Times New Roman"/>
        </w:rPr>
        <w:t xml:space="preserve">Art. L1237-11 Code du Travail </w:t>
      </w:r>
      <w:r w:rsidRPr="00357646">
        <w:rPr>
          <w:rFonts w:ascii="Times New Roman" w:hAnsi="Times New Roman" w:cs="Times New Roman"/>
          <w:i/>
        </w:rPr>
        <w:t>« L'employeur et le salarié peuvent convenir en commun des conditions de la rupture du contrat de travail qui les lie.</w:t>
      </w:r>
      <w:r>
        <w:rPr>
          <w:rFonts w:ascii="Times New Roman" w:hAnsi="Times New Roman" w:cs="Times New Roman"/>
          <w:i/>
        </w:rPr>
        <w:t xml:space="preserve"> </w:t>
      </w:r>
      <w:r w:rsidRPr="00357646">
        <w:rPr>
          <w:rFonts w:ascii="Times New Roman" w:hAnsi="Times New Roman" w:cs="Times New Roman"/>
          <w:i/>
        </w:rPr>
        <w:t>La rupture conventionnelle, exclusive du licenciement ou de la démission, ne peut être imposée par l'une ou l'autre des parties.</w:t>
      </w:r>
      <w:r>
        <w:rPr>
          <w:rFonts w:ascii="Times New Roman" w:hAnsi="Times New Roman" w:cs="Times New Roman"/>
          <w:i/>
        </w:rPr>
        <w:t xml:space="preserve"> </w:t>
      </w:r>
      <w:r w:rsidRPr="00357646">
        <w:rPr>
          <w:rFonts w:ascii="Times New Roman" w:hAnsi="Times New Roman" w:cs="Times New Roman"/>
          <w:i/>
        </w:rPr>
        <w:t>Elle résulte d'une convention signée par les parties au contrat. Elle est soumise aux dispositions de la présente section destinées à garantir la liberté du consentement des parties.</w:t>
      </w:r>
      <w:r>
        <w:rPr>
          <w:rFonts w:ascii="Times New Roman" w:hAnsi="Times New Roman" w:cs="Times New Roman"/>
          <w:i/>
        </w:rPr>
        <w:t> »</w:t>
      </w:r>
    </w:p>
  </w:footnote>
  <w:footnote w:id="3">
    <w:p w:rsidR="00E11BAA" w:rsidRDefault="00E11BAA" w:rsidP="00E11B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31E34">
        <w:rPr>
          <w:rFonts w:ascii="Times New Roman" w:hAnsi="Times New Roman" w:cs="Times New Roman"/>
        </w:rPr>
        <w:t>Cass. Soc. 15-10-2014 n°11-22.251 : FRS 22/14 p.7 ou FR 46/14 p.15</w:t>
      </w:r>
    </w:p>
  </w:footnote>
  <w:footnote w:id="4">
    <w:p w:rsidR="00E11BAA" w:rsidRDefault="00E11BAA" w:rsidP="00E11BA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Art. 1134 al.1 C. Civ. </w:t>
      </w:r>
      <w:r w:rsidRPr="00357646">
        <w:rPr>
          <w:rFonts w:ascii="Times New Roman" w:hAnsi="Times New Roman" w:cs="Times New Roman"/>
          <w:i/>
        </w:rPr>
        <w:t>« Les conventions légalement formées tiennent lieu d</w:t>
      </w:r>
      <w:r>
        <w:rPr>
          <w:rFonts w:ascii="Times New Roman" w:hAnsi="Times New Roman" w:cs="Times New Roman"/>
          <w:i/>
        </w:rPr>
        <w:t>e loi à ceux qui les ont faites.»</w:t>
      </w:r>
    </w:p>
  </w:footnote>
  <w:footnote w:id="5">
    <w:p w:rsidR="00E11BAA" w:rsidRPr="00C916CB" w:rsidRDefault="00E11BAA" w:rsidP="00E11BAA">
      <w:pPr>
        <w:pStyle w:val="Notedebasdepage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Note G. Couturier, SSL 2008 n°1356</w:t>
      </w:r>
    </w:p>
  </w:footnote>
  <w:footnote w:id="6">
    <w:p w:rsidR="00E11BAA" w:rsidRPr="002625E9" w:rsidRDefault="00E11BAA" w:rsidP="00E11BAA">
      <w:pPr>
        <w:pStyle w:val="Notedebasdepage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CA Riom 12-6-2012 n°11-992 : RJS 11/12 n°866 ; CA Dijon 5-5-2011 n°10-160 ; CA Toulouse 24-1-2013 n°11/3522)</w:t>
      </w:r>
    </w:p>
  </w:footnote>
  <w:footnote w:id="7">
    <w:p w:rsidR="00E11BAA" w:rsidRPr="00782F94" w:rsidRDefault="00E11BAA" w:rsidP="00E11BAA">
      <w:pPr>
        <w:pStyle w:val="Notedebasdepage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Note 1</w:t>
      </w:r>
    </w:p>
  </w:footnote>
  <w:footnote w:id="8">
    <w:p w:rsidR="00E11BAA" w:rsidRPr="00782F94" w:rsidRDefault="00E11BAA" w:rsidP="00E11BAA">
      <w:pPr>
        <w:pStyle w:val="Notedebasdepage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Note 2</w:t>
      </w:r>
    </w:p>
  </w:footnote>
  <w:footnote w:id="9">
    <w:p w:rsidR="00E11BAA" w:rsidRPr="00782F94" w:rsidRDefault="00E11BAA" w:rsidP="00E11BAA">
      <w:pPr>
        <w:rPr>
          <w:rFonts w:ascii="Times New Roman" w:hAnsi="Times New Roman" w:cs="Times New Roman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Art. L1231-4 Code </w:t>
      </w:r>
      <w:r w:rsidRPr="00782F94">
        <w:rPr>
          <w:rFonts w:ascii="Times New Roman" w:hAnsi="Times New Roman" w:cs="Times New Roman"/>
        </w:rPr>
        <w:t>du Travail</w:t>
      </w:r>
      <w:r w:rsidRPr="00782F94">
        <w:rPr>
          <w:rFonts w:ascii="Times New Roman" w:hAnsi="Times New Roman" w:cs="Times New Roman"/>
          <w:i/>
        </w:rPr>
        <w:t xml:space="preserve"> « </w:t>
      </w:r>
      <w:r w:rsidRPr="00782F94">
        <w:rPr>
          <w:rFonts w:ascii="Times New Roman" w:hAnsi="Times New Roman" w:cs="Times New Roman"/>
          <w:i/>
          <w:sz w:val="20"/>
          <w:szCs w:val="20"/>
        </w:rPr>
        <w:t>L'employeur et le salarié ne peuvent renoncer par avance au droit de se prévaloir des règles prévues par le présent titre. »</w:t>
      </w:r>
    </w:p>
    <w:p w:rsidR="00E11BAA" w:rsidRPr="00782F94" w:rsidRDefault="00E11BAA" w:rsidP="00E11BAA">
      <w:pPr>
        <w:pStyle w:val="Notedebasdepage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A"/>
    <w:rsid w:val="003F100A"/>
    <w:rsid w:val="004810E5"/>
    <w:rsid w:val="00720AE0"/>
    <w:rsid w:val="00DB7C67"/>
    <w:rsid w:val="00E1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11B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BAA"/>
  </w:style>
  <w:style w:type="character" w:styleId="Lienhypertexte">
    <w:name w:val="Hyperlink"/>
    <w:basedOn w:val="Policepardfaut"/>
    <w:uiPriority w:val="99"/>
    <w:unhideWhenUsed/>
    <w:rsid w:val="00E11BA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1B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1B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1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11B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BAA"/>
  </w:style>
  <w:style w:type="character" w:styleId="Lienhypertexte">
    <w:name w:val="Hyperlink"/>
    <w:basedOn w:val="Policepardfaut"/>
    <w:uiPriority w:val="99"/>
    <w:unhideWhenUsed/>
    <w:rsid w:val="00E11BA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1B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1B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1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kat-firma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hin-avocats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icolas.brahin@brahin-avoca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izons-advisory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hin-avocat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Brahin Avocats - Contact</dc:creator>
  <cp:lastModifiedBy>Brahin Avocats - Contact</cp:lastModifiedBy>
  <cp:revision>4</cp:revision>
  <dcterms:created xsi:type="dcterms:W3CDTF">2016-06-07T10:05:00Z</dcterms:created>
  <dcterms:modified xsi:type="dcterms:W3CDTF">2016-06-09T08:27:00Z</dcterms:modified>
</cp:coreProperties>
</file>